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43227099"/>
    <w:bookmarkStart w:id="1" w:name="_Toc327007778"/>
    <w:bookmarkStart w:id="2" w:name="_Toc340137007"/>
    <w:p w14:paraId="500348D5" w14:textId="1104F46A" w:rsidR="0021238B" w:rsidRPr="0094586F" w:rsidRDefault="00362842" w:rsidP="00362842">
      <w:pPr>
        <w:rPr>
          <w:lang w:val="en-AU"/>
        </w:rPr>
      </w:pPr>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4F3BF90" w:rsidR="003A63E6" w:rsidRPr="0094586F" w:rsidRDefault="00000000"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1"/>
                  <w14:checkedState w14:val="2612" w14:font="MS Gothic"/>
                  <w14:uncheckedState w14:val="2610" w14:font="MS Gothic"/>
                </w14:checkbox>
              </w:sdtPr>
              <w:sdtContent>
                <w:r w:rsidR="00931794">
                  <w:rPr>
                    <w:rFonts w:ascii="MS Gothic" w:eastAsia="MS Gothic" w:hAnsi="MS Gothic" w:hint="eastAsia"/>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45550C0F" w:rsidR="003A63E6" w:rsidRPr="0094586F" w:rsidRDefault="00E640DD" w:rsidP="00362842">
            <w:pPr>
              <w:rPr>
                <w:rFonts w:ascii="Roboto Lt" w:hAnsi="Roboto Lt" w:cs="Lucida Sans Unicode"/>
              </w:rPr>
            </w:pPr>
            <w:r w:rsidRPr="00E640DD">
              <w:rPr>
                <w:rFonts w:ascii="Roboto Lt" w:hAnsi="Roboto Lt" w:cs="Lucida Sans Unicode"/>
              </w:rPr>
              <w:t>FSKDIG01</w:t>
            </w:r>
          </w:p>
        </w:tc>
        <w:tc>
          <w:tcPr>
            <w:tcW w:w="4856" w:type="dxa"/>
            <w:gridSpan w:val="4"/>
            <w:vAlign w:val="center"/>
          </w:tcPr>
          <w:p w14:paraId="5C502342" w14:textId="6E7593D8" w:rsidR="003A63E6" w:rsidRPr="0094586F" w:rsidRDefault="00E640DD" w:rsidP="00362842">
            <w:pPr>
              <w:rPr>
                <w:rFonts w:ascii="Roboto Lt" w:hAnsi="Roboto Lt" w:cs="Lucida Sans Unicode"/>
              </w:rPr>
            </w:pPr>
            <w:r w:rsidRPr="00E640DD">
              <w:rPr>
                <w:rFonts w:ascii="Roboto Lt" w:hAnsi="Roboto Lt" w:cs="Lucida Sans Unicode"/>
              </w:rPr>
              <w:t>Use digital technology for basic workplace tasks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BEAAFBA" w:rsidR="00646BB5" w:rsidRPr="0094586F" w:rsidRDefault="00000000" w:rsidP="00646BB5">
            <w:pPr>
              <w:ind w:right="-362"/>
              <w:rPr>
                <w:rFonts w:ascii="Roboto Lt" w:eastAsiaTheme="majorEastAsia" w:hAnsi="Roboto Lt" w:cstheme="majorBidi"/>
              </w:rPr>
            </w:pPr>
            <w:sdt>
              <w:sdtPr>
                <w:rPr>
                  <w:rFonts w:ascii="Roboto Lt" w:hAnsi="Roboto Lt"/>
                  <w:lang w:val="en-AU"/>
                </w:rPr>
                <w:id w:val="1464460597"/>
                <w14:checkbox>
                  <w14:checked w14:val="1"/>
                  <w14:checkedState w14:val="2612" w14:font="MS Gothic"/>
                  <w14:uncheckedState w14:val="2610" w14:font="MS Gothic"/>
                </w14:checkbox>
              </w:sdtPr>
              <w:sdtContent>
                <w:r w:rsidR="00931794">
                  <w:rPr>
                    <w:rFonts w:ascii="MS Gothic" w:eastAsia="MS Gothic" w:hAnsi="MS Gothic" w:hint="eastAsia"/>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000000"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000000"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000000"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000000"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000000"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544A0483" w:rsidR="00646BB5" w:rsidRPr="0094586F" w:rsidRDefault="00000000"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1"/>
                  <w14:checkedState w14:val="2612" w14:font="MS Gothic"/>
                  <w14:uncheckedState w14:val="2610" w14:font="MS Gothic"/>
                </w14:checkbox>
              </w:sdtPr>
              <w:sdtContent>
                <w:r w:rsidR="00931794">
                  <w:rPr>
                    <w:rFonts w:ascii="MS Gothic" w:eastAsia="MS Gothic" w:hAnsi="MS Gothic" w:cstheme="majorBidi" w:hint="eastAsia"/>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000000"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000000"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(please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180687D3" w:rsidR="00CD3214" w:rsidRPr="0094586F" w:rsidRDefault="00931794" w:rsidP="00E60B5E">
            <w:pPr>
              <w:ind w:left="-51"/>
              <w:rPr>
                <w:rFonts w:ascii="Roboto Lt" w:hAnsi="Roboto Lt"/>
                <w:color w:val="0070C0"/>
              </w:rPr>
            </w:pPr>
            <w:r w:rsidRPr="00931794">
              <w:rPr>
                <w:rFonts w:ascii="Roboto Lt" w:hAnsi="Roboto Lt"/>
                <w:color w:val="0070C0"/>
              </w:rPr>
              <w:t>Observation checklist</w:t>
            </w:r>
          </w:p>
        </w:tc>
        <w:tc>
          <w:tcPr>
            <w:tcW w:w="4127" w:type="dxa"/>
            <w:gridSpan w:val="2"/>
          </w:tcPr>
          <w:p w14:paraId="320CBF92" w14:textId="77777777" w:rsidR="00931794" w:rsidRPr="00931794"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Senior Block, Learning Room 202</w:t>
            </w:r>
          </w:p>
          <w:p w14:paraId="2E1E16B0" w14:textId="77777777" w:rsidR="00931794" w:rsidRPr="00931794"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15 minutes for each task</w:t>
            </w:r>
          </w:p>
          <w:p w14:paraId="21668E8D" w14:textId="53591ED3" w:rsidR="00CD3214" w:rsidRPr="0094586F"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Due end of session 2</w:t>
            </w:r>
          </w:p>
        </w:tc>
        <w:tc>
          <w:tcPr>
            <w:tcW w:w="2866" w:type="dxa"/>
            <w:gridSpan w:val="2"/>
          </w:tcPr>
          <w:p w14:paraId="5A548CDB" w14:textId="77777777" w:rsidR="00931794" w:rsidRPr="00931794"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Name of device</w:t>
            </w:r>
          </w:p>
          <w:p w14:paraId="78AC854C" w14:textId="77777777" w:rsidR="00931794" w:rsidRPr="00931794"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Observation checklist</w:t>
            </w:r>
          </w:p>
          <w:p w14:paraId="0D82A95A" w14:textId="77777777" w:rsidR="00931794" w:rsidRPr="00931794"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Procedures</w:t>
            </w:r>
          </w:p>
          <w:p w14:paraId="7677842C" w14:textId="68A7952B" w:rsidR="00CD3214" w:rsidRPr="0094586F"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Wifi</w:t>
            </w:r>
          </w:p>
        </w:tc>
      </w:tr>
      <w:tr w:rsidR="009B3548" w:rsidRPr="0094586F" w14:paraId="6156D35F" w14:textId="3160689A" w:rsidTr="00362842">
        <w:trPr>
          <w:trHeight w:val="851"/>
        </w:trPr>
        <w:tc>
          <w:tcPr>
            <w:tcW w:w="3523" w:type="dxa"/>
            <w:gridSpan w:val="3"/>
            <w:shd w:val="clear" w:color="auto" w:fill="auto"/>
          </w:tcPr>
          <w:p w14:paraId="712C9BEC" w14:textId="64008733" w:rsidR="00CD3214" w:rsidRPr="0094586F" w:rsidRDefault="00931794" w:rsidP="00E60B5E">
            <w:pPr>
              <w:ind w:left="-51"/>
              <w:rPr>
                <w:rFonts w:ascii="Roboto Lt" w:hAnsi="Roboto Lt"/>
                <w:color w:val="0070C0"/>
                <w:lang w:val="en-AU"/>
              </w:rPr>
            </w:pPr>
            <w:r w:rsidRPr="00931794">
              <w:rPr>
                <w:rFonts w:ascii="Roboto Lt" w:hAnsi="Roboto Lt"/>
                <w:color w:val="0070C0"/>
                <w:lang w:val="en-AU"/>
              </w:rPr>
              <w:t>Knowledge test</w:t>
            </w:r>
          </w:p>
        </w:tc>
        <w:tc>
          <w:tcPr>
            <w:tcW w:w="4127" w:type="dxa"/>
            <w:gridSpan w:val="2"/>
          </w:tcPr>
          <w:p w14:paraId="6ADA8B50" w14:textId="77777777" w:rsidR="00931794" w:rsidRPr="00931794"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Senior Block, Learning Room 202</w:t>
            </w:r>
          </w:p>
          <w:p w14:paraId="5D1F7106" w14:textId="77777777" w:rsidR="00931794" w:rsidRPr="00931794"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30 minutes for completion</w:t>
            </w:r>
          </w:p>
          <w:p w14:paraId="57668EBD" w14:textId="1A3FE1DA" w:rsidR="00CD3214" w:rsidRPr="0094586F" w:rsidRDefault="00931794" w:rsidP="00931794">
            <w:pPr>
              <w:ind w:left="46" w:right="779"/>
              <w:rPr>
                <w:rFonts w:ascii="Roboto Lt" w:eastAsiaTheme="majorEastAsia" w:hAnsi="Roboto Lt" w:cstheme="majorBidi"/>
                <w:color w:val="0070C0"/>
              </w:rPr>
            </w:pPr>
            <w:r w:rsidRPr="00931794">
              <w:rPr>
                <w:rFonts w:ascii="Roboto Lt" w:eastAsiaTheme="majorEastAsia" w:hAnsi="Roboto Lt" w:cstheme="majorBidi"/>
                <w:color w:val="0070C0"/>
              </w:rPr>
              <w:t>Due end of session 2</w:t>
            </w:r>
          </w:p>
        </w:tc>
        <w:tc>
          <w:tcPr>
            <w:tcW w:w="2866" w:type="dxa"/>
            <w:gridSpan w:val="2"/>
          </w:tcPr>
          <w:p w14:paraId="630305D9" w14:textId="77777777" w:rsidR="00931794" w:rsidRPr="00931794"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Knowledge test</w:t>
            </w:r>
          </w:p>
          <w:p w14:paraId="06043C6A" w14:textId="77777777" w:rsidR="00931794" w:rsidRPr="00931794"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Marking guide</w:t>
            </w:r>
          </w:p>
          <w:p w14:paraId="147ED8FB" w14:textId="6B8E552B" w:rsidR="00CD3214" w:rsidRPr="0094586F" w:rsidRDefault="00931794" w:rsidP="00931794">
            <w:pPr>
              <w:rPr>
                <w:rFonts w:ascii="Roboto Lt" w:eastAsiaTheme="majorEastAsia" w:hAnsi="Roboto Lt" w:cstheme="majorBidi"/>
                <w:color w:val="0070C0"/>
              </w:rPr>
            </w:pPr>
            <w:r w:rsidRPr="00931794">
              <w:rPr>
                <w:rFonts w:ascii="Roboto Lt" w:eastAsiaTheme="majorEastAsia" w:hAnsi="Roboto Lt" w:cstheme="majorBidi"/>
                <w:color w:val="0070C0"/>
              </w:rPr>
              <w:t>pens</w:t>
            </w: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6407D6CF" w:rsidR="0021238B" w:rsidRPr="0094586F" w:rsidRDefault="00931794" w:rsidP="00091B45">
            <w:pPr>
              <w:ind w:left="49"/>
              <w:rPr>
                <w:rFonts w:ascii="Roboto Lt" w:eastAsiaTheme="majorEastAsia" w:hAnsi="Roboto Lt" w:cstheme="majorBidi"/>
                <w:color w:val="0070C0"/>
              </w:rPr>
            </w:pPr>
            <w:r w:rsidRPr="00931794">
              <w:rPr>
                <w:rFonts w:ascii="Roboto Lt" w:eastAsiaTheme="majorEastAsia" w:hAnsi="Roboto Lt" w:cstheme="majorBidi"/>
                <w:color w:val="0070C0"/>
              </w:rPr>
              <w:t>Year 11 students who are completing the Certificate II in business who are on a vocational pathway toward employment. Typically students at risk with low literacy and challenges with digital technology due to a lack of access to technology.</w:t>
            </w: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r w:rsidR="007125CD" w:rsidRPr="0094586F">
              <w:rPr>
                <w:rFonts w:ascii="Roboto Lt" w:hAnsi="Roboto Lt"/>
                <w:lang w:val="en-AU"/>
              </w:rPr>
              <w:t>insert from</w:t>
            </w:r>
            <w:r w:rsidRPr="0094586F">
              <w:rPr>
                <w:rFonts w:ascii="Roboto Lt" w:hAnsi="Roboto Lt"/>
                <w:lang w:val="en-AU"/>
              </w:rPr>
              <w:t xml:space="preserve"> Unit of Competency)</w:t>
            </w:r>
          </w:p>
          <w:p w14:paraId="3FB2C3BF" w14:textId="322B6465" w:rsidR="00BC60B9" w:rsidRPr="0094586F" w:rsidRDefault="00000000" w:rsidP="00FE4842">
            <w:pPr>
              <w:rPr>
                <w:rFonts w:ascii="Roboto Lt" w:hAnsi="Roboto Lt"/>
                <w:lang w:val="en-AU"/>
              </w:rPr>
            </w:pPr>
            <w:hyperlink r:id="rId8" w:history="1">
              <w:r w:rsidR="00E640DD" w:rsidRPr="009406D7">
                <w:rPr>
                  <w:rStyle w:val="Hyperlink"/>
                  <w:rFonts w:ascii="Roboto Lt" w:hAnsi="Roboto Lt"/>
                  <w:sz w:val="14"/>
                  <w:szCs w:val="18"/>
                  <w:lang w:val="en-AU"/>
                </w:rPr>
                <w:t>https://training.gov.au/Training/Details/FSKDIG001</w:t>
              </w:r>
            </w:hyperlink>
            <w:r w:rsidR="00E640DD">
              <w:rPr>
                <w:rFonts w:ascii="Roboto Lt" w:hAnsi="Roboto Lt"/>
                <w:sz w:val="14"/>
                <w:szCs w:val="18"/>
                <w:lang w:val="en-AU"/>
              </w:rPr>
              <w:t xml:space="preserve"> </w:t>
            </w:r>
          </w:p>
        </w:tc>
        <w:tc>
          <w:tcPr>
            <w:tcW w:w="6993" w:type="dxa"/>
            <w:gridSpan w:val="4"/>
          </w:tcPr>
          <w:p w14:paraId="632ADFDE"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Assessment texts and tasks reflect those typically found in the workplace.</w:t>
            </w:r>
          </w:p>
          <w:p w14:paraId="7EDB2A8D"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Advice and support is available.</w:t>
            </w:r>
          </w:p>
          <w:p w14:paraId="38FC5A6F"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Culturally appropriate processes and techniques suited to the language, literacy and numeracy capacity of individuals and the work being performed must be used.</w:t>
            </w:r>
          </w:p>
          <w:p w14:paraId="44262DDD"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Reasonable adjustments can be made to ensure equity in assessment for people with disabilities.</w:t>
            </w:r>
          </w:p>
          <w:p w14:paraId="480C5685" w14:textId="07BA5373" w:rsidR="00094DE1" w:rsidRPr="0094586F"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Assessors must satisfy NVR/AQTF assessor requirements, have sound knowledge of the ACSF and have demonstrable expertise in the vocational contextualisation and assessment of digital technology.</w:t>
            </w: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4A58A30D" w:rsidR="00094DE1" w:rsidRPr="0094586F" w:rsidRDefault="00931794" w:rsidP="00091B45">
            <w:pPr>
              <w:ind w:left="49"/>
              <w:rPr>
                <w:rFonts w:ascii="Roboto Lt" w:eastAsiaTheme="majorEastAsia" w:hAnsi="Roboto Lt" w:cstheme="majorBidi"/>
                <w:color w:val="0070C0"/>
              </w:rPr>
            </w:pPr>
            <w:r w:rsidRPr="00931794">
              <w:rPr>
                <w:rFonts w:ascii="Roboto Lt" w:eastAsiaTheme="majorEastAsia" w:hAnsi="Roboto Lt" w:cstheme="majorBidi"/>
                <w:color w:val="0070C0"/>
              </w:rPr>
              <w:t>There are no licensing, certification,  legislative requirements that apply to this unit</w:t>
            </w: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17272D71" w:rsidR="0021238B" w:rsidRPr="0094586F" w:rsidRDefault="00931794" w:rsidP="00091B45">
            <w:pPr>
              <w:ind w:left="49"/>
              <w:rPr>
                <w:rFonts w:ascii="Roboto Lt" w:eastAsiaTheme="majorEastAsia" w:hAnsi="Roboto Lt" w:cstheme="majorBidi"/>
                <w:color w:val="0070C0"/>
              </w:rPr>
            </w:pPr>
            <w:r w:rsidRPr="00931794">
              <w:rPr>
                <w:rFonts w:ascii="Roboto Lt" w:eastAsiaTheme="majorEastAsia" w:hAnsi="Roboto Lt" w:cstheme="majorBidi"/>
                <w:color w:val="0070C0"/>
              </w:rPr>
              <w:t>RTO coordinator, assessors, candidate</w:t>
            </w: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0706A826" w:rsidR="0021238B" w:rsidRPr="0094586F" w:rsidRDefault="00931794" w:rsidP="00091B45">
            <w:pPr>
              <w:ind w:left="49"/>
              <w:rPr>
                <w:rFonts w:ascii="Roboto Lt" w:eastAsiaTheme="majorEastAsia" w:hAnsi="Roboto Lt" w:cstheme="majorBidi"/>
                <w:color w:val="0070C0"/>
              </w:rPr>
            </w:pPr>
            <w:r w:rsidRPr="00931794">
              <w:rPr>
                <w:rFonts w:ascii="Roboto Lt" w:eastAsiaTheme="majorEastAsia" w:hAnsi="Roboto Lt" w:cstheme="majorBidi"/>
                <w:color w:val="0070C0"/>
              </w:rPr>
              <w:t>For special needs students, steps will be scaffolded and chunked into smaller steps, additional pictorial instructions will be provided, and additional time can be applied as needed</w:t>
            </w: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10CBF14C"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All assessments are submitted electronically via the student portal where they will be marked and assessed by the relevant trainers. The student will be given their assessment result ( Competent, NYC) via the portal. Any correspondence with the student will be recorded on their file.</w:t>
            </w:r>
          </w:p>
          <w:p w14:paraId="7AF4A5A8"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lastRenderedPageBreak/>
              <w:t xml:space="preserve">The result will also be automatically sent to the RTO compliance officer who will keep records of the students competencies and issue certifications. </w:t>
            </w:r>
          </w:p>
          <w:p w14:paraId="16840EF3"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All assessments should be marked and signed off by the assessor, candidates to sign final assessment.</w:t>
            </w:r>
          </w:p>
          <w:p w14:paraId="633E4FED"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Student profile gets updated with results once compliance checks have been conduct.</w:t>
            </w:r>
          </w:p>
          <w:p w14:paraId="688D1428" w14:textId="77777777" w:rsidR="00931794" w:rsidRPr="00931794"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Reports for AVETMISS reporting are completed as needed.</w:t>
            </w:r>
          </w:p>
          <w:p w14:paraId="6C50B322" w14:textId="074B334D" w:rsidR="0021238B" w:rsidRPr="0094586F" w:rsidRDefault="00931794" w:rsidP="00931794">
            <w:pPr>
              <w:spacing w:after="60"/>
              <w:ind w:left="43"/>
              <w:rPr>
                <w:rFonts w:ascii="Roboto Lt" w:eastAsiaTheme="majorEastAsia" w:hAnsi="Roboto Lt" w:cstheme="majorBidi"/>
                <w:color w:val="0070C0"/>
              </w:rPr>
            </w:pPr>
            <w:r w:rsidRPr="00931794">
              <w:rPr>
                <w:rFonts w:ascii="Roboto Lt" w:eastAsiaTheme="majorEastAsia" w:hAnsi="Roboto Lt" w:cstheme="majorBidi"/>
                <w:color w:val="0070C0"/>
              </w:rPr>
              <w:t>Certification is provided within 30 days and electronic copies of results are stored for 30 years.</w:t>
            </w: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A49D4" w14:textId="77777777" w:rsidR="00F57A4C" w:rsidRDefault="00F57A4C" w:rsidP="00B8089C">
      <w:r>
        <w:separator/>
      </w:r>
    </w:p>
  </w:endnote>
  <w:endnote w:type="continuationSeparator" w:id="0">
    <w:p w14:paraId="2CC81AF4" w14:textId="77777777" w:rsidR="00F57A4C" w:rsidRDefault="00F57A4C"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F7240" w14:textId="77777777" w:rsidR="00F57A4C" w:rsidRDefault="00F57A4C" w:rsidP="00B8089C">
      <w:r>
        <w:separator/>
      </w:r>
    </w:p>
  </w:footnote>
  <w:footnote w:type="continuationSeparator" w:id="0">
    <w:p w14:paraId="76E92721" w14:textId="77777777" w:rsidR="00F57A4C" w:rsidRDefault="00F57A4C"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11059725">
    <w:abstractNumId w:val="13"/>
  </w:num>
  <w:num w:numId="2" w16cid:durableId="917791235">
    <w:abstractNumId w:val="5"/>
  </w:num>
  <w:num w:numId="3" w16cid:durableId="1970210335">
    <w:abstractNumId w:val="7"/>
  </w:num>
  <w:num w:numId="4" w16cid:durableId="1218593508">
    <w:abstractNumId w:val="2"/>
  </w:num>
  <w:num w:numId="5" w16cid:durableId="484972461">
    <w:abstractNumId w:val="15"/>
  </w:num>
  <w:num w:numId="6" w16cid:durableId="511723314">
    <w:abstractNumId w:val="0"/>
  </w:num>
  <w:num w:numId="7" w16cid:durableId="1383015429">
    <w:abstractNumId w:val="9"/>
  </w:num>
  <w:num w:numId="8" w16cid:durableId="491264324">
    <w:abstractNumId w:val="1"/>
  </w:num>
  <w:num w:numId="9" w16cid:durableId="1826241919">
    <w:abstractNumId w:val="8"/>
  </w:num>
  <w:num w:numId="10" w16cid:durableId="239600937">
    <w:abstractNumId w:val="19"/>
  </w:num>
  <w:num w:numId="11" w16cid:durableId="2044476406">
    <w:abstractNumId w:val="11"/>
  </w:num>
  <w:num w:numId="12" w16cid:durableId="1980265843">
    <w:abstractNumId w:val="14"/>
  </w:num>
  <w:num w:numId="13" w16cid:durableId="739517695">
    <w:abstractNumId w:val="10"/>
  </w:num>
  <w:num w:numId="14" w16cid:durableId="1415740956">
    <w:abstractNumId w:val="18"/>
  </w:num>
  <w:num w:numId="15" w16cid:durableId="649941404">
    <w:abstractNumId w:val="17"/>
  </w:num>
  <w:num w:numId="16" w16cid:durableId="1262958050">
    <w:abstractNumId w:val="16"/>
  </w:num>
  <w:num w:numId="17" w16cid:durableId="141969462">
    <w:abstractNumId w:val="4"/>
  </w:num>
  <w:num w:numId="18" w16cid:durableId="1038700279">
    <w:abstractNumId w:val="6"/>
  </w:num>
  <w:num w:numId="19" w16cid:durableId="443578970">
    <w:abstractNumId w:val="3"/>
  </w:num>
  <w:num w:numId="20" w16cid:durableId="11771131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E5F29"/>
    <w:rsid w:val="001F6C9C"/>
    <w:rsid w:val="002109D0"/>
    <w:rsid w:val="00211607"/>
    <w:rsid w:val="0021238B"/>
    <w:rsid w:val="002C50E9"/>
    <w:rsid w:val="00321618"/>
    <w:rsid w:val="00362842"/>
    <w:rsid w:val="003A63E6"/>
    <w:rsid w:val="003B6240"/>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E65D0"/>
    <w:rsid w:val="007125CD"/>
    <w:rsid w:val="007736BF"/>
    <w:rsid w:val="007C3BB4"/>
    <w:rsid w:val="007F6893"/>
    <w:rsid w:val="00825478"/>
    <w:rsid w:val="00855E6D"/>
    <w:rsid w:val="0089743B"/>
    <w:rsid w:val="008B6950"/>
    <w:rsid w:val="008C12C0"/>
    <w:rsid w:val="008C3788"/>
    <w:rsid w:val="008D544C"/>
    <w:rsid w:val="00931794"/>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CE7B51"/>
    <w:rsid w:val="00D10D39"/>
    <w:rsid w:val="00D45D7C"/>
    <w:rsid w:val="00DD48E0"/>
    <w:rsid w:val="00E60B5E"/>
    <w:rsid w:val="00E640DD"/>
    <w:rsid w:val="00E90A16"/>
    <w:rsid w:val="00EA40D8"/>
    <w:rsid w:val="00EB1CFE"/>
    <w:rsid w:val="00EC6655"/>
    <w:rsid w:val="00EE0F0D"/>
    <w:rsid w:val="00EF239A"/>
    <w:rsid w:val="00F43922"/>
    <w:rsid w:val="00F57A4C"/>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FSKDIG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3</cp:revision>
  <dcterms:created xsi:type="dcterms:W3CDTF">2022-06-23T06:19:00Z</dcterms:created>
  <dcterms:modified xsi:type="dcterms:W3CDTF">2022-09-11T07:42:00Z</dcterms:modified>
</cp:coreProperties>
</file>